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E6751C" w:rsidP="008A67DA">
            <w:pPr>
              <w:rPr>
                <w:b/>
              </w:rPr>
            </w:pPr>
            <w:r>
              <w:rPr>
                <w:b/>
              </w:rPr>
              <w:t>Tue June 9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E6751C" w:rsidP="008A67DA">
            <w:pPr>
              <w:rPr>
                <w:b/>
              </w:rPr>
            </w:pPr>
            <w:r>
              <w:rPr>
                <w:b/>
              </w:rPr>
              <w:t>Wed June 10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E6751C" w:rsidRPr="002A77B7" w:rsidRDefault="00E6751C" w:rsidP="008A67DA">
            <w:pPr>
              <w:rPr>
                <w:b/>
              </w:rPr>
            </w:pPr>
            <w:r>
              <w:rPr>
                <w:b/>
              </w:rPr>
              <w:t>Thu June 11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Prof/Pers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3451DE"/>
    <w:rsid w:val="00376BD1"/>
    <w:rsid w:val="00491B7F"/>
    <w:rsid w:val="004D0374"/>
    <w:rsid w:val="005170EF"/>
    <w:rsid w:val="005606FC"/>
    <w:rsid w:val="0066450C"/>
    <w:rsid w:val="007B2064"/>
    <w:rsid w:val="007D11E2"/>
    <w:rsid w:val="008A67DA"/>
    <w:rsid w:val="008C54E0"/>
    <w:rsid w:val="00A65988"/>
    <w:rsid w:val="00C27C01"/>
    <w:rsid w:val="00C40D44"/>
    <w:rsid w:val="00C7695F"/>
    <w:rsid w:val="00CF690F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2</cp:revision>
  <cp:lastPrinted>2013-03-11T17:34:00Z</cp:lastPrinted>
  <dcterms:created xsi:type="dcterms:W3CDTF">2015-04-23T20:39:00Z</dcterms:created>
  <dcterms:modified xsi:type="dcterms:W3CDTF">2015-04-23T20:39:00Z</dcterms:modified>
</cp:coreProperties>
</file>